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8" w:rsidRPr="006038C8" w:rsidRDefault="006038C8" w:rsidP="006038C8">
      <w:pPr>
        <w:tabs>
          <w:tab w:val="left" w:pos="-3261"/>
          <w:tab w:val="left" w:pos="-1276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38C8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038C8" w:rsidRPr="006038C8" w:rsidRDefault="006038C8" w:rsidP="006038C8">
      <w:pPr>
        <w:tabs>
          <w:tab w:val="left" w:pos="-3261"/>
          <w:tab w:val="left" w:pos="-127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038C8" w:rsidRPr="006038C8" w:rsidRDefault="006038C8" w:rsidP="006038C8">
      <w:pPr>
        <w:tabs>
          <w:tab w:val="left" w:pos="-3261"/>
          <w:tab w:val="left" w:pos="-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C8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відбору закладів освіти для організації професійного навчання зареєстрованих безробітних та (або) їх проживання в період навчання (далі – Порядок), затвердженого наказом Міністерства соціальної політики України від 16.05.2013 року № 269, зареєстрованого в Міністерстві юстиції України 31.05.2013 року № 843/23375 (зі змінами), Чернігівський обласний центр зайнятості оголошує відбір закладів освіти для організації професійного навчання зареєстрованих безробітних та їх проживання в період навчання (далі – Відбір).</w:t>
      </w:r>
    </w:p>
    <w:p w:rsidR="006038C8" w:rsidRPr="006038C8" w:rsidRDefault="006038C8" w:rsidP="006038C8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038C8">
        <w:rPr>
          <w:sz w:val="28"/>
          <w:szCs w:val="28"/>
          <w:lang w:val="uk-UA"/>
        </w:rPr>
        <w:t>Список професій (спеціальностей, програм, галузей знань), за якими організовується професійного навчання зареєстрованих безробітних:</w:t>
      </w:r>
      <w:bookmarkStart w:id="0" w:name="n25"/>
      <w:bookmarkEnd w:id="0"/>
    </w:p>
    <w:p w:rsidR="006038C8" w:rsidRPr="006038C8" w:rsidRDefault="006038C8" w:rsidP="006038C8">
      <w:pPr>
        <w:numPr>
          <w:ilvl w:val="0"/>
          <w:numId w:val="8"/>
        </w:numPr>
        <w:shd w:val="clear" w:color="auto" w:fill="FFFFFF"/>
        <w:tabs>
          <w:tab w:val="clear" w:pos="1789"/>
          <w:tab w:val="left" w:pos="-1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: «Агент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туризму», «</w:t>
      </w:r>
      <w:proofErr w:type="spellStart"/>
      <w:proofErr w:type="gramStart"/>
      <w:r w:rsidRPr="006038C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6038C8">
        <w:rPr>
          <w:rFonts w:ascii="Times New Roman" w:hAnsi="Times New Roman" w:cs="Times New Roman"/>
          <w:sz w:val="28"/>
          <w:szCs w:val="28"/>
        </w:rPr>
        <w:t>іністратор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Акумуляторник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», 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«Бармен», </w:t>
      </w:r>
      <w:r w:rsidRPr="0060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Вальник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>»,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Вишивальник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Верстатник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деревообробних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верстатів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Верстатник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широкого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профілю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«Верхолаз»,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«С»),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«С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»),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«D»),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«D1»),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«СЕ»),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«С1Е»),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Е»),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«D1Е»),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автовізка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навантажувача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тролейбуса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сиру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«Водолаз»,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морозива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Візажист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Газорізальник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«Декоратор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вітрин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Електрогазозварник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Електрозварник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автоматичних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напівавтоматичних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машинах»,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Електрозварник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ручного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зварювання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Електромеханік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ліфтів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Електромонтажник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освітлювальних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мереж»,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Електромонтажник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силових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мереж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електроустаткування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Електромонтер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ремонту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електроустаткування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Закрійник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Касир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торговельного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залу»,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Косметик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Кравець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Квіткар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Квітникар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«Коваль ручного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«Кухар», «Кондитер», «Контролер газового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0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Копрівник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», 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«Лаборант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хіміко-бактеріологічного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Ліфтер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Лицювальник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-плиточник», «Муляр», «Маляр»,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Манікюрник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автовишки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автогідропідіймача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Машиніст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бульдозера </w:t>
      </w:r>
      <w:r w:rsidRPr="006038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>)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екскаватора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одноковшового», </w:t>
      </w:r>
      <w:r w:rsidRPr="0060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Машиніст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пересувної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>»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Машиніст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крана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кранівник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)»,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Машиніст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(кочегар)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котельні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Машиніст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холодильних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Машиніст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компресорних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Машиніст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крана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автомобільного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Машиніст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насосних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установок», «Монтажник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гіпсокартонних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конструкцій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«Монтажник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радіоелектронної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апаратури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«Монтажник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санітарно-технічних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систем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устаткування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«Монтажник з монтажу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сталевих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залізобетонних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конструкцій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Молодша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медична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сестра з догляду за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хворими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Наповнювач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балонів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Озеленювач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Охоронник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Охоронець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«Оператор крутильного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устаткування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«Оператор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крутіння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витягування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«Оператор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котельні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«Оператор теплового пункту», «Оператор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швацького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устаткування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«Оператор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верстатів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програмним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керуванням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«Оператор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комп’ютерної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верстки»,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Офіціант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«Оператор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заправних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станцій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Педикюрник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Пекар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Перукар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перукар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модельєр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)», «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ічник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Покрівельник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рулонних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покрівель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покрівель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штучних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Плетельник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меблів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Продавець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(з лотка, на ринку)»,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Продавець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продовольчих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Продавець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продовольчих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Прядильник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Робітник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зеленого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будівництва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«А2»),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«В1»),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«В2»),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«В3»),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«С»),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«D1»),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«D2»),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«Е1»),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«Е2»),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«F1»),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«F2»),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«G1»),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 (кат. «G2»),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«H»),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Складальник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верху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взуття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Слюсар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експлуатації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ремонту газового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устаткування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Слюсар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експлуатації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ремонту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ідземних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газопроводів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Слюсар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механоскладальних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ремонту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Слюсар-електрик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ремонту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електроустаткування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Слюсар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-ремонтник»,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Слюсар-сантехнік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Слюсар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контрольно-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вимірювальних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автоматики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електромеханіка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)»,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Слюсар-інструментальник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«Столяр», «Столяр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будівельний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Стропальник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038C8">
        <w:rPr>
          <w:rFonts w:ascii="Times New Roman" w:hAnsi="Times New Roman" w:cs="Times New Roman"/>
          <w:sz w:val="28"/>
          <w:szCs w:val="28"/>
        </w:rPr>
        <w:t xml:space="preserve">«Такелажник»», 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Тесляр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«Ткач»,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Токар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«Тракторист -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 (кат. «А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»), «Флорист»,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Фрезерувальник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«Швачка», «Штукатур»;</w:t>
      </w:r>
    </w:p>
    <w:p w:rsidR="006038C8" w:rsidRPr="006038C8" w:rsidRDefault="006038C8" w:rsidP="006038C8">
      <w:pPr>
        <w:numPr>
          <w:ilvl w:val="0"/>
          <w:numId w:val="8"/>
        </w:numPr>
        <w:tabs>
          <w:tab w:val="clear" w:pos="1789"/>
          <w:tab w:val="left" w:pos="-3261"/>
          <w:tab w:val="left" w:pos="-1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38C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038C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стандартами», 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будівельних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Комп’ютеризація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облікової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Водіння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газобалонними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установками»,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експлуатації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вантажного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автотранспорту», </w:t>
      </w:r>
      <w:r w:rsidRPr="0060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керуванням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та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обслуговуванням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подібної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техніки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>»,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безпечної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трудової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Сучасні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електронно-касовому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обслуговуванні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ідприємець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початківець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малого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підприємництва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об’єднань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співвласників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багатоквартирних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і практика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закладах», </w:t>
      </w:r>
      <w:r w:rsidRPr="0060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r w:rsidRPr="006038C8">
        <w:rPr>
          <w:rFonts w:ascii="Times New Roman" w:hAnsi="Times New Roman" w:cs="Times New Roman"/>
          <w:sz w:val="28"/>
          <w:szCs w:val="28"/>
        </w:rPr>
        <w:lastRenderedPageBreak/>
        <w:t xml:space="preserve">ремонтом та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монтажем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промислової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іки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Сучасні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переробки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картоплі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6038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найпростіших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сільському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господарстві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обслуговуванням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>»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торгівельними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038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Роздрібна торгівля" w:history="1">
        <w:proofErr w:type="spellStart"/>
        <w:r w:rsidRPr="006038C8">
          <w:rPr>
            <w:rFonts w:ascii="Times New Roman" w:hAnsi="Times New Roman" w:cs="Times New Roman"/>
            <w:sz w:val="28"/>
            <w:szCs w:val="28"/>
          </w:rPr>
          <w:t>торгівлі</w:t>
        </w:r>
        <w:proofErr w:type="spellEnd"/>
      </w:hyperlink>
      <w:r w:rsidRPr="006038C8">
        <w:rPr>
          <w:rFonts w:ascii="Times New Roman" w:hAnsi="Times New Roman" w:cs="Times New Roman"/>
          <w:sz w:val="28"/>
          <w:szCs w:val="28"/>
        </w:rPr>
        <w:t xml:space="preserve">», 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Робітники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обслуговують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технологічні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на природному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газі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Щорічна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перевірка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робітників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обслуговують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технологічні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на природному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газі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комп’ютерної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графіки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WEB-дизайну»,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зеленого туризму»</w:t>
      </w:r>
      <w:r w:rsidRPr="006038C8">
        <w:rPr>
          <w:rFonts w:ascii="Times New Roman" w:hAnsi="Times New Roman" w:cs="Times New Roman"/>
          <w:sz w:val="28"/>
          <w:szCs w:val="28"/>
        </w:rPr>
        <w:t xml:space="preserve">, 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Щорічна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перевірка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машині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кочегарів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котельні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Щорічна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перевірка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операторів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котельні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слюсарно-обслуговуючих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теплопостачання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0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керуванням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та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обслуговуванням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сільсько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лісогосподарського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», 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хімічного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води»,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новітніх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цегли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ідприємствах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цегельного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безпечного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підприємствах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цукрового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технічного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і ремонту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техніки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«Оператор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газових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котлів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Щорічна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перевірка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операторів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газових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котлів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робітників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обслуговують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вироблення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теплової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енергії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Кочегари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обслуговують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водогрійні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котли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на твердому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паливі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0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обслуговуванням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для помелу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зернових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прянощів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», 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«Менеджер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страхової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038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Практичне вивчення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6038C8">
        <w:rPr>
          <w:rFonts w:ascii="Times New Roman" w:hAnsi="Times New Roman" w:cs="Times New Roman"/>
          <w:sz w:val="28"/>
          <w:szCs w:val="28"/>
          <w:lang w:val="uk-UA"/>
        </w:rPr>
        <w:t xml:space="preserve"> у швейному</w:t>
      </w:r>
      <w:proofErr w:type="gramEnd"/>
      <w:r w:rsidRPr="006038C8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 (на прикладі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професії «швачка»)»</w:t>
      </w:r>
      <w:r w:rsidR="00BD1EE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*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 «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Практичне вивчення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6038C8">
        <w:rPr>
          <w:rFonts w:ascii="Times New Roman" w:hAnsi="Times New Roman" w:cs="Times New Roman"/>
          <w:sz w:val="28"/>
          <w:szCs w:val="28"/>
          <w:lang w:val="uk-UA"/>
        </w:rPr>
        <w:t xml:space="preserve"> у швейному виробництві (на прикладі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професії «кравець»)»</w:t>
      </w:r>
      <w:r w:rsidR="00BD1EE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*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 «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Практичне вивчення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6038C8">
        <w:rPr>
          <w:rFonts w:ascii="Times New Roman" w:hAnsi="Times New Roman" w:cs="Times New Roman"/>
          <w:sz w:val="28"/>
          <w:szCs w:val="28"/>
          <w:lang w:val="uk-UA"/>
        </w:rPr>
        <w:t xml:space="preserve"> у швейному виробництві (на прикладі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професії «закрійник»)</w:t>
      </w:r>
      <w:r w:rsidR="00BD1EE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*</w:t>
      </w:r>
      <w:r w:rsidRPr="006038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8C8" w:rsidRPr="006038C8" w:rsidRDefault="006038C8" w:rsidP="006038C8">
      <w:pPr>
        <w:shd w:val="clear" w:color="auto" w:fill="FFFFFF"/>
        <w:tabs>
          <w:tab w:val="left" w:pos="-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ідборі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38C8" w:rsidRPr="006038C8" w:rsidRDefault="006038C8" w:rsidP="006038C8">
      <w:pPr>
        <w:numPr>
          <w:ilvl w:val="0"/>
          <w:numId w:val="9"/>
        </w:numPr>
        <w:shd w:val="clear" w:color="auto" w:fill="FFFFFF"/>
        <w:tabs>
          <w:tab w:val="clear" w:pos="1819"/>
          <w:tab w:val="left" w:pos="-127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довільній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ідписується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особою) про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ліцензії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провадження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заявленою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професією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групою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споріднених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професій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віднесених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до одного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підкласу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класифікаційного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угруповання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gtFrame="_top" w:history="1"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Національного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класифікатора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професій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ДК 003:2010</w:t>
        </w:r>
      </w:hyperlink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спеціальністю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галуззю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038C8" w:rsidRPr="006038C8" w:rsidRDefault="006038C8" w:rsidP="006038C8">
      <w:pPr>
        <w:numPr>
          <w:ilvl w:val="0"/>
          <w:numId w:val="9"/>
        </w:numPr>
        <w:shd w:val="clear" w:color="auto" w:fill="FFFFFF"/>
        <w:tabs>
          <w:tab w:val="clear" w:pos="1819"/>
          <w:tab w:val="left" w:pos="-127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довільній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ідписується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особою) про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свідоцтва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атестацію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професійно-технічної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сертифіката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акредитацію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відповідною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спеціальністю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038C8" w:rsidRPr="006038C8" w:rsidRDefault="006038C8" w:rsidP="006038C8">
      <w:pPr>
        <w:numPr>
          <w:ilvl w:val="0"/>
          <w:numId w:val="9"/>
        </w:numPr>
        <w:shd w:val="clear" w:color="auto" w:fill="FFFFFF"/>
        <w:tabs>
          <w:tab w:val="clear" w:pos="1819"/>
          <w:tab w:val="left" w:pos="-127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Кошторис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професійне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однієї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особи за весь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окремою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професією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спеціальністю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галуззю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складений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до Порядку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платних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державними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комунальними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навчальними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закладами,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tgtFrame="_top" w:history="1"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наказом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Міністерства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освіти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і науки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Міністерства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економіки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Міністерства</w:t>
        </w:r>
        <w:proofErr w:type="spellEnd"/>
        <w:proofErr w:type="gram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фінансів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від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23.07.2010 року № 736/902/758</w:t>
        </w:r>
      </w:hyperlink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зареєстрованим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Міністерстві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юстиції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30.11.2010 року за № 1196/18491,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регламентує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Кошторис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затверджується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особою,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скріплюється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печаткою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ідписується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бухгалтером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особою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примірний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зразок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038C8" w:rsidRPr="006038C8" w:rsidRDefault="006038C8" w:rsidP="006038C8">
      <w:pPr>
        <w:numPr>
          <w:ilvl w:val="0"/>
          <w:numId w:val="9"/>
        </w:numPr>
        <w:shd w:val="clear" w:color="auto" w:fill="FFFFFF"/>
        <w:tabs>
          <w:tab w:val="clear" w:pos="1819"/>
          <w:tab w:val="left" w:pos="-1276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довільній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ідписується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особою) про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матеріально-технічне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навчально-методичне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кадрове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баз для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виробничої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</w:t>
      </w:r>
    </w:p>
    <w:p w:rsidR="006038C8" w:rsidRPr="006038C8" w:rsidRDefault="006038C8" w:rsidP="006038C8">
      <w:pPr>
        <w:shd w:val="clear" w:color="auto" w:fill="FFFFFF"/>
        <w:tabs>
          <w:tab w:val="left" w:pos="-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ідборі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38C8" w:rsidRPr="006038C8" w:rsidRDefault="006038C8" w:rsidP="006038C8">
      <w:pPr>
        <w:numPr>
          <w:ilvl w:val="0"/>
          <w:numId w:val="10"/>
        </w:numPr>
        <w:shd w:val="clear" w:color="auto" w:fill="FFFFFF"/>
        <w:tabs>
          <w:tab w:val="clear" w:pos="1819"/>
          <w:tab w:val="left" w:pos="-1276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довільній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ідписується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особою) про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зареєстрованих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безробітних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санітарним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нормам,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установленим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8C8" w:rsidRPr="006038C8" w:rsidRDefault="006038C8" w:rsidP="006038C8">
      <w:pPr>
        <w:numPr>
          <w:ilvl w:val="0"/>
          <w:numId w:val="10"/>
        </w:numPr>
        <w:shd w:val="clear" w:color="auto" w:fill="FFFFFF"/>
        <w:tabs>
          <w:tab w:val="clear" w:pos="1819"/>
          <w:tab w:val="left" w:pos="-1276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Кошторис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калькуляція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одного слухача на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добу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складені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до Порядку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платних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державними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комунальними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навчальними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закладами,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tgtFrame="_top" w:history="1"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наказом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Міністерства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освіти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і науки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Міністерства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економіки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Міністерства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фінансів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від</w:t>
        </w:r>
        <w:proofErr w:type="spellEnd"/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 23.07.2010 року № 736/902/758</w:t>
        </w:r>
      </w:hyperlink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зареєстрованим</w:t>
      </w:r>
      <w:proofErr w:type="spellEnd"/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Міністерстві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юстиції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30.11.2010 року за № 1196/18491,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регламентує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Кошторис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затверджується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особою,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скріплюється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печаткою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ідписується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бухгалтером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особою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примірний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зразок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038C8" w:rsidRPr="006038C8" w:rsidRDefault="006038C8" w:rsidP="006038C8">
      <w:pPr>
        <w:shd w:val="clear" w:color="auto" w:fill="FFFFFF"/>
        <w:tabs>
          <w:tab w:val="left" w:pos="-1276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Разом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вищезазначеною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інформацією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надають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довільній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ідписується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особою) про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доступність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будівель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споруд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освітніми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потребами.</w:t>
      </w:r>
    </w:p>
    <w:p w:rsidR="006038C8" w:rsidRPr="006038C8" w:rsidRDefault="006038C8" w:rsidP="006038C8">
      <w:pPr>
        <w:pStyle w:val="tjbm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6038C8">
        <w:rPr>
          <w:color w:val="000000"/>
          <w:sz w:val="28"/>
          <w:szCs w:val="28"/>
          <w:lang w:val="uk-UA"/>
        </w:rPr>
        <w:t>Критеріями прийнятності закладів освіти щодо організації професійного навчання зареєстрованих безробітних є:</w:t>
      </w:r>
    </w:p>
    <w:p w:rsidR="006038C8" w:rsidRPr="006038C8" w:rsidRDefault="006038C8" w:rsidP="006038C8">
      <w:pPr>
        <w:pStyle w:val="tjbm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6038C8">
        <w:rPr>
          <w:color w:val="000000"/>
          <w:sz w:val="28"/>
          <w:szCs w:val="28"/>
          <w:lang w:val="uk-UA"/>
        </w:rPr>
        <w:t>місце розташування закладу освіти в межах адміністративно-територіальної одиниці (Чернігівська область);</w:t>
      </w:r>
    </w:p>
    <w:p w:rsidR="006038C8" w:rsidRPr="006038C8" w:rsidRDefault="006038C8" w:rsidP="006038C8">
      <w:pPr>
        <w:pStyle w:val="tjbm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6038C8">
        <w:rPr>
          <w:color w:val="000000"/>
          <w:sz w:val="28"/>
          <w:szCs w:val="28"/>
          <w:lang w:val="uk-UA"/>
        </w:rPr>
        <w:lastRenderedPageBreak/>
        <w:t xml:space="preserve">наявність у закладу освіти ліцензії для провадження діяльності з надання освітніх послуг за заявленою професією або групою споріднених професій, віднесених до одного класу (підкласу, групи) класифікаційного угруповання </w:t>
      </w:r>
      <w:hyperlink r:id="rId13" w:tgtFrame="_top" w:history="1">
        <w:r w:rsidRPr="006038C8">
          <w:rPr>
            <w:color w:val="000000"/>
            <w:sz w:val="28"/>
            <w:szCs w:val="28"/>
            <w:lang w:val="uk-UA"/>
          </w:rPr>
          <w:t>Національного класифікатора професій ДК 003:2010</w:t>
        </w:r>
      </w:hyperlink>
      <w:r w:rsidRPr="006038C8">
        <w:rPr>
          <w:color w:val="000000"/>
          <w:sz w:val="28"/>
          <w:szCs w:val="28"/>
          <w:lang w:val="uk-UA"/>
        </w:rPr>
        <w:t>, або за спеціальністю (програмою, галуззю знань);</w:t>
      </w:r>
    </w:p>
    <w:p w:rsidR="006038C8" w:rsidRPr="006038C8" w:rsidRDefault="006038C8" w:rsidP="006038C8">
      <w:pPr>
        <w:pStyle w:val="tjbm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6038C8">
        <w:rPr>
          <w:color w:val="000000"/>
          <w:sz w:val="28"/>
          <w:szCs w:val="28"/>
          <w:lang w:val="uk-UA"/>
        </w:rPr>
        <w:t>наявність матеріально-технічного, навчально-методичного та кадрового забезпечення закладу освіти, потрібного для повного виконання навчальних планів та освітніх програм;</w:t>
      </w:r>
    </w:p>
    <w:p w:rsidR="006038C8" w:rsidRPr="006038C8" w:rsidRDefault="006038C8" w:rsidP="006038C8">
      <w:pPr>
        <w:pStyle w:val="tjbm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6038C8">
        <w:rPr>
          <w:color w:val="000000"/>
          <w:sz w:val="28"/>
          <w:szCs w:val="28"/>
          <w:lang w:val="uk-UA"/>
        </w:rPr>
        <w:t>наявність баз для проведення виробничої практики.</w:t>
      </w:r>
    </w:p>
    <w:p w:rsidR="006038C8" w:rsidRPr="006038C8" w:rsidRDefault="006038C8" w:rsidP="006038C8">
      <w:pPr>
        <w:pStyle w:val="tjbm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6038C8">
        <w:rPr>
          <w:color w:val="000000"/>
          <w:sz w:val="28"/>
          <w:szCs w:val="28"/>
          <w:lang w:val="uk-UA"/>
        </w:rPr>
        <w:t>Критеріями прийнятності закладів освіти щодо організації проживання зареєстрованих безробітних у період навчання є відповідність умов проживання санітарним нормам, установленим законодавством.</w:t>
      </w:r>
    </w:p>
    <w:p w:rsidR="006038C8" w:rsidRPr="006038C8" w:rsidRDefault="006038C8" w:rsidP="006038C8">
      <w:pPr>
        <w:shd w:val="clear" w:color="auto" w:fill="FFFFFF"/>
        <w:tabs>
          <w:tab w:val="left" w:pos="-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про участь у</w:t>
      </w:r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ідборі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приймаються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починаючи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27.11.2019 року, на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постійній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робочі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 8 год. 00 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. до 17 год. 00 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включно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п’ятниця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передсвяткові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до 16 год. 00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включно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) за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4000, м"/>
        </w:smartTagPr>
        <w:r w:rsidRPr="006038C8">
          <w:rPr>
            <w:rFonts w:ascii="Times New Roman" w:hAnsi="Times New Roman" w:cs="Times New Roman"/>
            <w:color w:val="000000"/>
            <w:sz w:val="28"/>
            <w:szCs w:val="28"/>
          </w:rPr>
          <w:t>14000, м</w:t>
        </w:r>
      </w:smartTag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Чернігів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Коцюбинського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40,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Чернігівський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обласний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зайнятості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Структурний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38C8">
        <w:rPr>
          <w:rFonts w:ascii="Times New Roman" w:hAnsi="Times New Roman" w:cs="Times New Roman"/>
          <w:color w:val="000000"/>
          <w:sz w:val="28"/>
          <w:szCs w:val="28"/>
        </w:rPr>
        <w:t>ідрозділ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відповідальний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прийом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профнавчання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Чернігівського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обласного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центру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зайнятості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. № 304 (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третій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поверх).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Телефони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</w:rPr>
        <w:t>довідок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</w:rPr>
        <w:t>: (0462) 77-90-31, (0462) 67-78-02.</w:t>
      </w:r>
    </w:p>
    <w:p w:rsidR="006038C8" w:rsidRPr="006038C8" w:rsidRDefault="006038C8" w:rsidP="006038C8">
      <w:pPr>
        <w:pStyle w:val="tjbm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6038C8">
        <w:rPr>
          <w:color w:val="000000"/>
          <w:sz w:val="28"/>
          <w:szCs w:val="28"/>
          <w:lang w:val="uk-UA"/>
        </w:rPr>
        <w:t>Заклади освіти забезпечують актуальність відомостей про професії, спеціальності (програми, галузі знань), за якими буде здійснюватися професійне навчання зареєстрованих безробітних; про матеріально-технічне, навчально-методичне, кадрове забезпечення; про наявність баз для проведення виробничої практики; про вартість навчання та (або) проживання. У разі зміни відповідних даних заклади освіти протягом 15 робочих днів можуть подавати оновлену інформацію до Чернігівського обласного центру зайнятості.</w:t>
      </w:r>
    </w:p>
    <w:p w:rsidR="00A16A27" w:rsidRDefault="00A16A27" w:rsidP="00607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E56" w:rsidRPr="000E7207" w:rsidRDefault="00037E56" w:rsidP="00607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037E56" w:rsidRPr="000E7207" w:rsidRDefault="00037E56" w:rsidP="00D813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Редакція оголошення зі змінами від 11.08.2022 року в частині оновлення спис</w:t>
      </w:r>
      <w:r w:rsidRPr="006038C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C8">
        <w:rPr>
          <w:rFonts w:ascii="Times New Roman" w:hAnsi="Times New Roman" w:cs="Times New Roman"/>
          <w:sz w:val="28"/>
          <w:szCs w:val="28"/>
          <w:lang w:val="uk-UA"/>
        </w:rPr>
        <w:t xml:space="preserve"> професій (спеціальностей, програм, галузей знань), за як</w:t>
      </w:r>
      <w:r w:rsidR="003731FB">
        <w:rPr>
          <w:rFonts w:ascii="Times New Roman" w:hAnsi="Times New Roman" w:cs="Times New Roman"/>
          <w:sz w:val="28"/>
          <w:szCs w:val="28"/>
          <w:lang w:val="uk-UA"/>
        </w:rPr>
        <w:t>ими організовується професійне</w:t>
      </w:r>
      <w:r w:rsidRPr="006038C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зареєстрованих безробітних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(додані програми: </w:t>
      </w:r>
      <w:r w:rsidRPr="006038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Практичне вивчення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6038C8">
        <w:rPr>
          <w:rFonts w:ascii="Times New Roman" w:hAnsi="Times New Roman" w:cs="Times New Roman"/>
          <w:sz w:val="28"/>
          <w:szCs w:val="28"/>
          <w:lang w:val="uk-UA"/>
        </w:rPr>
        <w:t xml:space="preserve"> у швейному виробництві (на прикладі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професії «швачка»)», «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Практичне вивчення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6038C8">
        <w:rPr>
          <w:rFonts w:ascii="Times New Roman" w:hAnsi="Times New Roman" w:cs="Times New Roman"/>
          <w:sz w:val="28"/>
          <w:szCs w:val="28"/>
          <w:lang w:val="uk-UA"/>
        </w:rPr>
        <w:t xml:space="preserve"> у швейному виробництві (на прикладі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професії «кравець»)», «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Практичне вивчення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</w:t>
      </w:r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6038C8">
        <w:rPr>
          <w:rFonts w:ascii="Times New Roman" w:hAnsi="Times New Roman" w:cs="Times New Roman"/>
          <w:sz w:val="28"/>
          <w:szCs w:val="28"/>
          <w:lang w:val="uk-UA"/>
        </w:rPr>
        <w:t xml:space="preserve"> у швейному виробництві (на прикладі </w:t>
      </w:r>
      <w:proofErr w:type="spellStart"/>
      <w:r w:rsidRPr="006038C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038C8">
        <w:rPr>
          <w:rFonts w:ascii="Times New Roman" w:hAnsi="Times New Roman" w:cs="Times New Roman"/>
          <w:sz w:val="28"/>
          <w:szCs w:val="28"/>
        </w:rPr>
        <w:t xml:space="preserve"> 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r w:rsidRPr="006038C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професії «закрійник»)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  <w:bookmarkStart w:id="1" w:name="_GoBack"/>
      <w:bookmarkEnd w:id="1"/>
    </w:p>
    <w:sectPr w:rsidR="00037E56" w:rsidRPr="000E7207" w:rsidSect="00A16A2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F0" w:rsidRDefault="00B508F0" w:rsidP="00A16A27">
      <w:pPr>
        <w:spacing w:after="0" w:line="240" w:lineRule="auto"/>
      </w:pPr>
      <w:r>
        <w:separator/>
      </w:r>
    </w:p>
  </w:endnote>
  <w:endnote w:type="continuationSeparator" w:id="0">
    <w:p w:rsidR="00B508F0" w:rsidRDefault="00B508F0" w:rsidP="00A1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F0" w:rsidRDefault="00B508F0" w:rsidP="00A16A27">
      <w:pPr>
        <w:spacing w:after="0" w:line="240" w:lineRule="auto"/>
      </w:pPr>
      <w:r>
        <w:separator/>
      </w:r>
    </w:p>
  </w:footnote>
  <w:footnote w:type="continuationSeparator" w:id="0">
    <w:p w:rsidR="00B508F0" w:rsidRDefault="00B508F0" w:rsidP="00A1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129354"/>
      <w:docPartObj>
        <w:docPartGallery w:val="Page Numbers (Top of Page)"/>
        <w:docPartUnique/>
      </w:docPartObj>
    </w:sdtPr>
    <w:sdtEndPr/>
    <w:sdtContent>
      <w:p w:rsidR="00BD1EE8" w:rsidRDefault="00BD1E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9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4C9"/>
    <w:multiLevelType w:val="hybridMultilevel"/>
    <w:tmpl w:val="4C04C31A"/>
    <w:lvl w:ilvl="0" w:tplc="673268B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1A46"/>
    <w:multiLevelType w:val="hybridMultilevel"/>
    <w:tmpl w:val="2EF24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6662A5"/>
    <w:multiLevelType w:val="hybridMultilevel"/>
    <w:tmpl w:val="1F7E6E2A"/>
    <w:lvl w:ilvl="0" w:tplc="DBDC3AB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9B4424DC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A4E37B2"/>
    <w:multiLevelType w:val="hybridMultilevel"/>
    <w:tmpl w:val="79121AF4"/>
    <w:lvl w:ilvl="0" w:tplc="D2DCCE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81747"/>
    <w:multiLevelType w:val="hybridMultilevel"/>
    <w:tmpl w:val="544C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E105D"/>
    <w:multiLevelType w:val="hybridMultilevel"/>
    <w:tmpl w:val="DD06AF94"/>
    <w:lvl w:ilvl="0" w:tplc="035670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456CC372">
      <w:numFmt w:val="bullet"/>
      <w:lvlText w:val="-"/>
      <w:lvlJc w:val="left"/>
      <w:pPr>
        <w:tabs>
          <w:tab w:val="num" w:pos="2854"/>
        </w:tabs>
        <w:ind w:left="2854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AA620AA"/>
    <w:multiLevelType w:val="hybridMultilevel"/>
    <w:tmpl w:val="7E6EB248"/>
    <w:lvl w:ilvl="0" w:tplc="DE5886D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>
    <w:nsid w:val="51A32102"/>
    <w:multiLevelType w:val="hybridMultilevel"/>
    <w:tmpl w:val="1804A668"/>
    <w:lvl w:ilvl="0" w:tplc="4F40ACC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D4B31"/>
    <w:multiLevelType w:val="hybridMultilevel"/>
    <w:tmpl w:val="A514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3F66B4"/>
    <w:multiLevelType w:val="hybridMultilevel"/>
    <w:tmpl w:val="86CCCFD6"/>
    <w:lvl w:ilvl="0" w:tplc="4F40ACC0">
      <w:start w:val="1"/>
      <w:numFmt w:val="bullet"/>
      <w:lvlText w:val="-"/>
      <w:lvlJc w:val="left"/>
      <w:pPr>
        <w:ind w:left="214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21"/>
    <w:rsid w:val="00037E56"/>
    <w:rsid w:val="00060D37"/>
    <w:rsid w:val="000A1D99"/>
    <w:rsid w:val="000A2F07"/>
    <w:rsid w:val="000E7207"/>
    <w:rsid w:val="001279AE"/>
    <w:rsid w:val="001805E0"/>
    <w:rsid w:val="001A3390"/>
    <w:rsid w:val="001D7CE6"/>
    <w:rsid w:val="001E478F"/>
    <w:rsid w:val="002A0371"/>
    <w:rsid w:val="002A1B18"/>
    <w:rsid w:val="002B2C3A"/>
    <w:rsid w:val="002B7571"/>
    <w:rsid w:val="002F093A"/>
    <w:rsid w:val="003731FB"/>
    <w:rsid w:val="00393B5C"/>
    <w:rsid w:val="00393DD2"/>
    <w:rsid w:val="003A0F6A"/>
    <w:rsid w:val="003D0434"/>
    <w:rsid w:val="00443B59"/>
    <w:rsid w:val="00485FE1"/>
    <w:rsid w:val="004A2BAC"/>
    <w:rsid w:val="004B1810"/>
    <w:rsid w:val="004C2955"/>
    <w:rsid w:val="004D2493"/>
    <w:rsid w:val="0058695E"/>
    <w:rsid w:val="005961B0"/>
    <w:rsid w:val="005A0CF7"/>
    <w:rsid w:val="005B1BE9"/>
    <w:rsid w:val="006038C8"/>
    <w:rsid w:val="00607651"/>
    <w:rsid w:val="006202B2"/>
    <w:rsid w:val="0064051A"/>
    <w:rsid w:val="006A5AB1"/>
    <w:rsid w:val="006C0520"/>
    <w:rsid w:val="006C5D6D"/>
    <w:rsid w:val="006D04C6"/>
    <w:rsid w:val="006E02C4"/>
    <w:rsid w:val="007339B0"/>
    <w:rsid w:val="007410FD"/>
    <w:rsid w:val="007738D7"/>
    <w:rsid w:val="00782E1B"/>
    <w:rsid w:val="007B2BB9"/>
    <w:rsid w:val="007C09CC"/>
    <w:rsid w:val="007D0952"/>
    <w:rsid w:val="007D25F5"/>
    <w:rsid w:val="008818D6"/>
    <w:rsid w:val="00953C32"/>
    <w:rsid w:val="00977F62"/>
    <w:rsid w:val="009927DF"/>
    <w:rsid w:val="009C69B0"/>
    <w:rsid w:val="00A107CE"/>
    <w:rsid w:val="00A16A27"/>
    <w:rsid w:val="00A44E43"/>
    <w:rsid w:val="00A66AF1"/>
    <w:rsid w:val="00A919F8"/>
    <w:rsid w:val="00AA6689"/>
    <w:rsid w:val="00AB538A"/>
    <w:rsid w:val="00AB729F"/>
    <w:rsid w:val="00AC2D39"/>
    <w:rsid w:val="00AE47E1"/>
    <w:rsid w:val="00AF636D"/>
    <w:rsid w:val="00B508F0"/>
    <w:rsid w:val="00B60A21"/>
    <w:rsid w:val="00B77D5F"/>
    <w:rsid w:val="00BD1EE8"/>
    <w:rsid w:val="00C13636"/>
    <w:rsid w:val="00C53F1F"/>
    <w:rsid w:val="00C70342"/>
    <w:rsid w:val="00CA5464"/>
    <w:rsid w:val="00CC6837"/>
    <w:rsid w:val="00CE4213"/>
    <w:rsid w:val="00D17439"/>
    <w:rsid w:val="00D311E6"/>
    <w:rsid w:val="00D44B8B"/>
    <w:rsid w:val="00D74B48"/>
    <w:rsid w:val="00D81397"/>
    <w:rsid w:val="00DA74DF"/>
    <w:rsid w:val="00DD6AD3"/>
    <w:rsid w:val="00E56C7E"/>
    <w:rsid w:val="00EB4484"/>
    <w:rsid w:val="00ED6479"/>
    <w:rsid w:val="00EF7A94"/>
    <w:rsid w:val="00F1561A"/>
    <w:rsid w:val="00F60B1E"/>
    <w:rsid w:val="00FA21F4"/>
    <w:rsid w:val="00FB402F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3C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D25F5"/>
    <w:pPr>
      <w:ind w:left="720"/>
      <w:contextualSpacing/>
    </w:pPr>
  </w:style>
  <w:style w:type="character" w:customStyle="1" w:styleId="rvts0">
    <w:name w:val="rvts0"/>
    <w:basedOn w:val="a0"/>
    <w:rsid w:val="004D2493"/>
  </w:style>
  <w:style w:type="paragraph" w:styleId="a5">
    <w:name w:val="Balloon Text"/>
    <w:basedOn w:val="a"/>
    <w:link w:val="a6"/>
    <w:uiPriority w:val="99"/>
    <w:semiHidden/>
    <w:unhideWhenUsed/>
    <w:rsid w:val="00B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A27"/>
  </w:style>
  <w:style w:type="paragraph" w:styleId="a9">
    <w:name w:val="footer"/>
    <w:basedOn w:val="a"/>
    <w:link w:val="aa"/>
    <w:uiPriority w:val="99"/>
    <w:unhideWhenUsed/>
    <w:rsid w:val="00A1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A27"/>
  </w:style>
  <w:style w:type="character" w:customStyle="1" w:styleId="rvts23">
    <w:name w:val="rvts23"/>
    <w:basedOn w:val="a0"/>
    <w:rsid w:val="00AB729F"/>
  </w:style>
  <w:style w:type="paragraph" w:styleId="HTML">
    <w:name w:val="HTML Preformatted"/>
    <w:basedOn w:val="a"/>
    <w:link w:val="HTML0"/>
    <w:uiPriority w:val="99"/>
    <w:semiHidden/>
    <w:unhideWhenUsed/>
    <w:rsid w:val="00AB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2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D04C6"/>
    <w:rPr>
      <w:i/>
      <w:iCs/>
    </w:rPr>
  </w:style>
  <w:style w:type="character" w:customStyle="1" w:styleId="jlqj4b">
    <w:name w:val="jlqj4b"/>
    <w:basedOn w:val="a0"/>
    <w:rsid w:val="00C13636"/>
  </w:style>
  <w:style w:type="paragraph" w:customStyle="1" w:styleId="2">
    <w:name w:val="Знак Знак Знак Знак2 Знак Знак Знак Знак"/>
    <w:basedOn w:val="a"/>
    <w:rsid w:val="00640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 Знак2 Знак Знак Знак Знак"/>
    <w:basedOn w:val="a"/>
    <w:rsid w:val="00603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60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rsid w:val="0060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3C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D25F5"/>
    <w:pPr>
      <w:ind w:left="720"/>
      <w:contextualSpacing/>
    </w:pPr>
  </w:style>
  <w:style w:type="character" w:customStyle="1" w:styleId="rvts0">
    <w:name w:val="rvts0"/>
    <w:basedOn w:val="a0"/>
    <w:rsid w:val="004D2493"/>
  </w:style>
  <w:style w:type="paragraph" w:styleId="a5">
    <w:name w:val="Balloon Text"/>
    <w:basedOn w:val="a"/>
    <w:link w:val="a6"/>
    <w:uiPriority w:val="99"/>
    <w:semiHidden/>
    <w:unhideWhenUsed/>
    <w:rsid w:val="00B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A27"/>
  </w:style>
  <w:style w:type="paragraph" w:styleId="a9">
    <w:name w:val="footer"/>
    <w:basedOn w:val="a"/>
    <w:link w:val="aa"/>
    <w:uiPriority w:val="99"/>
    <w:unhideWhenUsed/>
    <w:rsid w:val="00A1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A27"/>
  </w:style>
  <w:style w:type="character" w:customStyle="1" w:styleId="rvts23">
    <w:name w:val="rvts23"/>
    <w:basedOn w:val="a0"/>
    <w:rsid w:val="00AB729F"/>
  </w:style>
  <w:style w:type="paragraph" w:styleId="HTML">
    <w:name w:val="HTML Preformatted"/>
    <w:basedOn w:val="a"/>
    <w:link w:val="HTML0"/>
    <w:uiPriority w:val="99"/>
    <w:semiHidden/>
    <w:unhideWhenUsed/>
    <w:rsid w:val="00AB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2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D04C6"/>
    <w:rPr>
      <w:i/>
      <w:iCs/>
    </w:rPr>
  </w:style>
  <w:style w:type="character" w:customStyle="1" w:styleId="jlqj4b">
    <w:name w:val="jlqj4b"/>
    <w:basedOn w:val="a0"/>
    <w:rsid w:val="00C13636"/>
  </w:style>
  <w:style w:type="paragraph" w:customStyle="1" w:styleId="2">
    <w:name w:val="Знак Знак Знак Знак2 Знак Знак Знак Знак"/>
    <w:basedOn w:val="a"/>
    <w:rsid w:val="00640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 Знак2 Знак Знак Знак Знак"/>
    <w:basedOn w:val="a"/>
    <w:rsid w:val="00603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60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rsid w:val="0060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ligazakon.ua/l_doc2.nsf/link1/FIN5940Z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RE1849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RE1849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FIN5940Z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A0%D0%BE%D0%B7%D0%B4%D1%80%D1%96%D0%B1%D0%BD%D0%B0_%D1%82%D0%BE%D1%80%D0%B3%D1%96%D0%B2%D0%BB%D1%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15CC-5C07-44C7-9645-E6876755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9542</Words>
  <Characters>5440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М.И.</dc:creator>
  <cp:lastModifiedBy>Федусь В.И.</cp:lastModifiedBy>
  <cp:revision>9</cp:revision>
  <cp:lastPrinted>2022-08-11T09:36:00Z</cp:lastPrinted>
  <dcterms:created xsi:type="dcterms:W3CDTF">2022-08-11T09:17:00Z</dcterms:created>
  <dcterms:modified xsi:type="dcterms:W3CDTF">2022-08-12T07:59:00Z</dcterms:modified>
</cp:coreProperties>
</file>